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67" w:rsidRPr="00A26067" w:rsidRDefault="00A26067" w:rsidP="00A2606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6067">
        <w:rPr>
          <w:rFonts w:ascii="Times New Roman" w:hAnsi="Times New Roman" w:cs="Times New Roman"/>
          <w:sz w:val="28"/>
          <w:szCs w:val="28"/>
        </w:rPr>
        <w:t>Приложение №</w:t>
      </w:r>
      <w:r w:rsidR="00E529BD">
        <w:rPr>
          <w:rFonts w:ascii="Times New Roman" w:hAnsi="Times New Roman" w:cs="Times New Roman"/>
          <w:sz w:val="28"/>
          <w:szCs w:val="28"/>
        </w:rPr>
        <w:t>3</w:t>
      </w:r>
      <w:r w:rsidRPr="00A26067">
        <w:rPr>
          <w:rFonts w:ascii="Times New Roman" w:hAnsi="Times New Roman" w:cs="Times New Roman"/>
          <w:sz w:val="28"/>
          <w:szCs w:val="28"/>
        </w:rPr>
        <w:t xml:space="preserve"> к Положению о конфликте интересов </w:t>
      </w:r>
    </w:p>
    <w:p w:rsidR="00A26067" w:rsidRDefault="00A26067" w:rsidP="00A26067">
      <w:pPr>
        <w:jc w:val="right"/>
        <w:rPr>
          <w:rFonts w:ascii="Times New Roman" w:hAnsi="Times New Roman" w:cs="Times New Roman"/>
          <w:sz w:val="28"/>
          <w:szCs w:val="28"/>
        </w:rPr>
      </w:pPr>
      <w:r w:rsidRPr="00A26067">
        <w:rPr>
          <w:rFonts w:ascii="Times New Roman" w:hAnsi="Times New Roman" w:cs="Times New Roman"/>
          <w:sz w:val="28"/>
          <w:szCs w:val="28"/>
        </w:rPr>
        <w:t xml:space="preserve">в Муниципальном казенном учреждении </w:t>
      </w:r>
    </w:p>
    <w:p w:rsidR="0087198F" w:rsidRDefault="00A26067" w:rsidP="00A26067">
      <w:pPr>
        <w:jc w:val="right"/>
        <w:rPr>
          <w:rFonts w:ascii="Times New Roman" w:hAnsi="Times New Roman" w:cs="Times New Roman"/>
          <w:sz w:val="28"/>
          <w:szCs w:val="28"/>
        </w:rPr>
      </w:pPr>
      <w:r w:rsidRPr="00A26067">
        <w:rPr>
          <w:rFonts w:ascii="Times New Roman" w:hAnsi="Times New Roman" w:cs="Times New Roman"/>
          <w:sz w:val="28"/>
          <w:szCs w:val="28"/>
        </w:rPr>
        <w:t>«Служба муниципального заказа»</w:t>
      </w:r>
    </w:p>
    <w:p w:rsidR="00A26067" w:rsidRDefault="00A26067" w:rsidP="00A260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7AB3" w:rsidRPr="00E529BD" w:rsidRDefault="00A26067" w:rsidP="00A260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9BD">
        <w:rPr>
          <w:rFonts w:ascii="Times New Roman" w:hAnsi="Times New Roman" w:cs="Times New Roman"/>
          <w:sz w:val="28"/>
          <w:szCs w:val="28"/>
        </w:rPr>
        <w:t>Процедура перекрестного анализа профилей заказчика и участника закупки и выборочного комплексного анализа закупок</w:t>
      </w:r>
      <w:r w:rsidR="001A4439" w:rsidRPr="00E52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67" w:rsidRDefault="00A26067" w:rsidP="00A26067">
      <w:pPr>
        <w:pStyle w:val="center"/>
        <w:rPr>
          <w:sz w:val="28"/>
          <w:szCs w:val="28"/>
        </w:rPr>
      </w:pPr>
    </w:p>
    <w:p w:rsidR="00A26067" w:rsidRDefault="00A26067" w:rsidP="00A26067">
      <w:pPr>
        <w:pStyle w:val="cent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Данная процедура перекрестного анализа профилей заказчика и участника закупки разработана в соответствие с «Методическими рекомендациями</w:t>
      </w:r>
      <w:r w:rsidRPr="00A26067">
        <w:rPr>
          <w:sz w:val="28"/>
          <w:szCs w:val="28"/>
        </w:rPr>
        <w:t xml:space="preserve">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 (утв. Минтрудом)»</w:t>
      </w:r>
      <w:r>
        <w:rPr>
          <w:sz w:val="28"/>
          <w:szCs w:val="28"/>
        </w:rPr>
        <w:t>»</w:t>
      </w:r>
      <w:r w:rsidRPr="00A26067">
        <w:rPr>
          <w:sz w:val="28"/>
          <w:szCs w:val="28"/>
        </w:rPr>
        <w:t>.</w:t>
      </w:r>
    </w:p>
    <w:p w:rsidR="00A26067" w:rsidRDefault="00E529BD" w:rsidP="00A26067">
      <w:pPr>
        <w:pStyle w:val="cent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6067">
        <w:rPr>
          <w:sz w:val="28"/>
          <w:szCs w:val="28"/>
        </w:rPr>
        <w:t xml:space="preserve">Цель – </w:t>
      </w:r>
      <w:r w:rsidR="00A26067" w:rsidRPr="00E529BD">
        <w:rPr>
          <w:sz w:val="28"/>
          <w:szCs w:val="28"/>
        </w:rPr>
        <w:t>выявление скрытой личной заинтересованности у сотрудников МКУ «Служба муниципального заказа», которая приводит или может привести к конфликту интересов при осуществлении закупок в соответствии с Федеральным законом № 44-ФЗ</w:t>
      </w:r>
      <w:r w:rsidR="00CF2346" w:rsidRPr="00E529BD">
        <w:rPr>
          <w:sz w:val="28"/>
          <w:szCs w:val="28"/>
        </w:rPr>
        <w:t xml:space="preserve">. Это касается сотрудников, связанных с </w:t>
      </w:r>
      <w:r w:rsidR="00A26067" w:rsidRPr="00E529BD">
        <w:rPr>
          <w:sz w:val="28"/>
          <w:szCs w:val="28"/>
        </w:rPr>
        <w:t>непосредственным проведением</w:t>
      </w:r>
      <w:r w:rsidR="00A26067">
        <w:rPr>
          <w:sz w:val="28"/>
          <w:szCs w:val="28"/>
        </w:rPr>
        <w:t xml:space="preserve"> закупочных процедур</w:t>
      </w:r>
      <w:r w:rsidR="00CF2346">
        <w:rPr>
          <w:sz w:val="28"/>
          <w:szCs w:val="28"/>
        </w:rPr>
        <w:t>.</w:t>
      </w:r>
    </w:p>
    <w:p w:rsidR="00AB7AB3" w:rsidRDefault="00E529BD" w:rsidP="00A2606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AB7AB3" w:rsidRPr="00AB7A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МКУ «Служба муниципального заказа проводит закупки как от себя (выступая непосредственно в роли заказчика)</w:t>
      </w:r>
      <w:r w:rsidR="002F3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B7AB3" w:rsidRPr="00AB7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 и выступая уполномоченным органом в размещение закупок </w:t>
      </w:r>
      <w:r w:rsidR="002F3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AB7AB3" w:rsidRPr="00AB7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других учреждений </w:t>
      </w:r>
      <w:proofErr w:type="gramStart"/>
      <w:r w:rsidR="00AB7AB3" w:rsidRPr="00AB7A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gramEnd"/>
      <w:r w:rsidR="00AB7AB3" w:rsidRPr="00AB7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ЗАТО Свободный. В</w:t>
      </w:r>
      <w:r w:rsidR="00AB7AB3" w:rsidRPr="00CF33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первом</w:t>
      </w:r>
      <w:r w:rsidR="00AB7AB3" w:rsidRPr="00AB7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7A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 к</w:t>
      </w:r>
      <w:r w:rsidR="00AB7AB3" w:rsidRPr="00197E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перечню сотрудников, непосредственно связанных с проведением закупочных процедур</w:t>
      </w:r>
      <w:r w:rsidR="00AB7AB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B7AB3" w:rsidRPr="00197E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относятся</w:t>
      </w:r>
      <w:r w:rsidR="00AB7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(от МКУ «СМЗ»)</w:t>
      </w:r>
      <w:r w:rsidR="00AB7AB3" w:rsidRPr="00197E64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директор, заместитель директора, экономисты (специалисты)</w:t>
      </w:r>
      <w:r w:rsidR="00AB7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закупкам. Во втором случае добавляются и сотрудник</w:t>
      </w:r>
      <w:r w:rsidR="002F3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других организаций (от имени з</w:t>
      </w:r>
      <w:r w:rsidR="00AB7A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аказчика): руководитель, контрактный управляющий, специалисты по закупкам.</w:t>
      </w:r>
      <w:r w:rsidR="00D623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 эти люди могут прямо или косвенно быть задействованными в совершении коррупционных правонарушений если они (или их родственники) связаны с поставщиком (подрядчиком), который планирует участвовать в закупке.</w:t>
      </w:r>
    </w:p>
    <w:p w:rsidR="00A53D75" w:rsidRDefault="00F4491A" w:rsidP="00A2606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CF33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53D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типовым случаям личной заинтересованности, </w:t>
      </w:r>
      <w:r w:rsidR="00A53D75" w:rsidRPr="00F44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применимым непосредственно для целей закупок, могут относиться следующие:</w:t>
      </w:r>
    </w:p>
    <w:p w:rsidR="00A53D75" w:rsidRPr="00F4491A" w:rsidRDefault="00A53D75" w:rsidP="00A53D7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4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конкурентных процедурах по определению поставщика (подрядчика, исполнителя) участвует организация, в которой работает близкий родственник члена комиссии либо иного работника, заинтересованного в осуществлении закупки;</w:t>
      </w:r>
    </w:p>
    <w:p w:rsidR="00A53D75" w:rsidRPr="00F4491A" w:rsidRDefault="00A53D75" w:rsidP="00A53D75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4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конкурентных процедурах участвует организация, в которой у члена комиссии либо у иного заинтересованного в закупке работника имеется доля участия в ее уставном капитале;</w:t>
      </w:r>
    </w:p>
    <w:p w:rsidR="00A53D75" w:rsidRPr="00F4491A" w:rsidRDefault="00A53D75" w:rsidP="00A53D75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4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конкурентных процедурах участвует организация, в которой ранее работал член комиссии либо иной заинтересованный работник;</w:t>
      </w:r>
    </w:p>
    <w:p w:rsidR="00A53D75" w:rsidRPr="00F4491A" w:rsidRDefault="00A53D75" w:rsidP="00A53D75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4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закупке товаров, являющихся результатами интеллектуальной деятельности, участвуют работники, чьи родственники или иные лица, с которыми у него имеются корпоративные, имущественные или иные близкие отношения, владеют исключительными правами;</w:t>
      </w:r>
    </w:p>
    <w:p w:rsidR="00A53D75" w:rsidRPr="00F4491A" w:rsidRDefault="00A53D75" w:rsidP="00A53D75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4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конкурентных процедурах участвует организация, ценные бумаги которой имеются в собственности у члена комиссии либо у иного заинтересованного работника, в том числе иных лиц, с которыми у него имеются корпоративные, имущественные или иные близкие отношения.</w:t>
      </w:r>
    </w:p>
    <w:p w:rsidR="00A53D75" w:rsidRDefault="00A53D75" w:rsidP="00A2606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491A" w:rsidRDefault="00F4491A" w:rsidP="00A2606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выявления этих </w:t>
      </w:r>
      <w:r w:rsidR="007937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других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случаев создаются профили заказчика и участника закупки и проводится их перекрестный анализ. Для составления профиля заказчика</w:t>
      </w:r>
      <w:r w:rsidR="00D42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E47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составляются профил</w:t>
      </w:r>
      <w:r w:rsidR="002F3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E47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каждому сотруднику учреждения. В расчет берутся </w:t>
      </w:r>
      <w:r w:rsidR="00D42A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критерии и информация:</w:t>
      </w:r>
    </w:p>
    <w:p w:rsidR="000F59E7" w:rsidRPr="00E529BD" w:rsidRDefault="007E4756" w:rsidP="00E529B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</w:t>
      </w:r>
      <w:r w:rsidR="000F59E7"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</w:t>
      </w:r>
      <w:r w:rsidR="007937B0"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ежегодных деклараций сотрудников о возможной личной заинтересованности.</w:t>
      </w:r>
    </w:p>
    <w:p w:rsidR="007937B0" w:rsidRPr="00E529BD" w:rsidRDefault="007937B0" w:rsidP="00E529B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тестирования по вопросам, связанным с противодействием коррупции.</w:t>
      </w:r>
    </w:p>
    <w:p w:rsidR="00D42A76" w:rsidRDefault="00D42A76" w:rsidP="00E529B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ранее совершенных коррупционных правонарушений сотрудниками, непосредственно</w:t>
      </w:r>
      <w:r w:rsidRPr="00D42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связанны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Pr="00D42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проведением кон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кретной закупки.</w:t>
      </w:r>
    </w:p>
    <w:p w:rsidR="00D42A76" w:rsidRDefault="00D42A76" w:rsidP="00E529B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Поступающие сведения</w:t>
      </w:r>
      <w:r w:rsidR="000A32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других сотрудников заказчика, иных юридических и физических лиц об имеющихся сговорах, незаконных схемах обогащения, родственных связях. А также любых других фактах, прямо или косвенно свидетельствующих о конфликте интересов между сотрудниками заказчика и участника закупки.</w:t>
      </w:r>
    </w:p>
    <w:p w:rsidR="000A3265" w:rsidRDefault="000A3265" w:rsidP="00E529B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Предыдущие места работы сотрудников (</w:t>
      </w:r>
      <w:r w:rsidR="007E47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данным </w:t>
      </w:r>
      <w:r w:rsidR="00C56C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трудовой книжки), а также нынешние места подработки (при наличии).</w:t>
      </w:r>
    </w:p>
    <w:p w:rsidR="000A3265" w:rsidRDefault="000A3265" w:rsidP="00E529B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Иные сведения. К ним относится: информация из анкеты при поступлении на работу, </w:t>
      </w:r>
      <w:r w:rsidR="00336E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личная карточка,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социальные сети и мессенджеры, интернет-сайты, общественн</w:t>
      </w:r>
      <w:r w:rsidR="00492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ая жизнь сотрудников вне работы. Из этих </w:t>
      </w:r>
      <w:r w:rsidR="00492D5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источников берется информаци</w:t>
      </w:r>
      <w:r w:rsidR="002F3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492D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близком родстве (свойстве), имущественных, корпоративных или иных близких отношениях с потенциальными поставщиками (подрядчиками).</w:t>
      </w:r>
    </w:p>
    <w:p w:rsidR="000A3265" w:rsidRDefault="00E529BD" w:rsidP="000A326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0A32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составления профиля участника закупки</w:t>
      </w:r>
      <w:r w:rsidR="000A3265" w:rsidRPr="000A32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32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используются следующие критерии и информация:</w:t>
      </w:r>
    </w:p>
    <w:p w:rsidR="00073A89" w:rsidRPr="00EA67CE" w:rsidRDefault="00073A89" w:rsidP="00E529B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из ЕИС (единой информационной системы в сфере закупок): ранее заключенные контракты (анализируется цикличность заключения, заказчики, суммы, предмет контракта</w:t>
      </w:r>
      <w:r w:rsidR="000E425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наличие в реестре недобросовестных поставщиков, </w:t>
      </w:r>
      <w:r w:rsidR="000E42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копии учредительных документов, аукционная, конкурсная документация, документы, подтверждающие полномочия на осуществления действий от имени участника закупки, </w:t>
      </w:r>
      <w:r w:rsidR="000E425A" w:rsidRPr="00EA67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иные представленные участником документы.</w:t>
      </w:r>
    </w:p>
    <w:p w:rsidR="00073A89" w:rsidRPr="00E529BD" w:rsidRDefault="00073A89" w:rsidP="00E529B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из электронного сервиса «Прозрачный бизнес» (</w:t>
      </w:r>
      <w:hyperlink r:id="rId5" w:history="1">
        <w:r w:rsidRPr="00E529B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https://pb.nalog.ru</w:t>
        </w:r>
      </w:hyperlink>
      <w:r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- (наименование, местонахождение, ИНН, ОГРН, </w:t>
      </w:r>
      <w:r w:rsidR="000E425A"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адрес, система налогообложения, вид деятельности, сведения о субъекте малого предпринимательства).</w:t>
      </w:r>
    </w:p>
    <w:p w:rsidR="00073A89" w:rsidRPr="00E529BD" w:rsidRDefault="00073A89" w:rsidP="00E529B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Выписки из ЕГРЮЛ, ЕГРИП, которые можно получить из электронного сервиса </w:t>
      </w:r>
      <w:hyperlink r:id="rId6" w:history="1">
        <w:r w:rsidR="000E425A" w:rsidRPr="00E529B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https://egrul.nalog.ru</w:t>
        </w:r>
      </w:hyperlink>
      <w:r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E4756"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нее берутся Ф.И.О. учредителей</w:t>
      </w:r>
      <w:r w:rsidR="0073057E"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(индивидуального предпринимателя), адрес (место нахождения), доли в уставном капитале, основные и дополнительные виды деятельности с указанием ОКПД и при необходимости другие сведения.</w:t>
      </w:r>
    </w:p>
    <w:p w:rsidR="000E425A" w:rsidRPr="00E529BD" w:rsidRDefault="000E425A" w:rsidP="00E529B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 юридических лицах, имеющих задолженность по уплате налогов и/или не представляющих </w:t>
      </w:r>
      <w:r w:rsidR="000F59E7"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налоговую отчетность более года, которые можно получить из электронного сервиса </w:t>
      </w:r>
      <w:hyperlink r:id="rId7" w:history="1">
        <w:r w:rsidR="000F59E7" w:rsidRPr="00E529BD">
          <w:t>https://service.nalog.ru</w:t>
        </w:r>
      </w:hyperlink>
      <w:r w:rsidR="000F59E7"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F59E7" w:rsidRDefault="000F59E7" w:rsidP="00E529B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Вышеуказанная информация собирается и о с</w:t>
      </w:r>
      <w:r w:rsidR="001B50B5"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убподрядчиках (цена которых составляет более 10% цены контракта)</w:t>
      </w:r>
      <w:r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Особое внимание уделяется постоянным контрагентам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B0DA0" w:rsidRDefault="006B0DA0" w:rsidP="00E529B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 с официальных сайтов участников закупок (при наличии): адрес, телефон, руководство, сферы деятельности</w:t>
      </w:r>
    </w:p>
    <w:p w:rsidR="000F59E7" w:rsidRPr="00E529BD" w:rsidRDefault="000F59E7" w:rsidP="00E529B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Иные поступающие сведения от государственных органов, </w:t>
      </w:r>
      <w:r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юридических и физических лиц</w:t>
      </w:r>
      <w:r w:rsidR="007937B0"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F59E7" w:rsidRPr="00E529BD" w:rsidRDefault="00E529BD" w:rsidP="000F59E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7937B0"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Анализу подвергается также и сама закупка. Для выборочного комплексного анализа бер</w:t>
      </w:r>
      <w:r w:rsidR="00EA67CE"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7937B0"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 в расчет следующие параметры:</w:t>
      </w:r>
    </w:p>
    <w:p w:rsidR="00175FD8" w:rsidRPr="002F354D" w:rsidRDefault="00175FD8" w:rsidP="00E529B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Повышенное внимание уделяется </w:t>
      </w:r>
      <w:r w:rsidR="007E4756"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наиболее </w:t>
      </w:r>
      <w:proofErr w:type="spellStart"/>
      <w:r w:rsidR="007E4756"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коррупционноемким</w:t>
      </w:r>
      <w:proofErr w:type="spellEnd"/>
      <w:r w:rsidR="007E4756" w:rsidRPr="00E529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закупкам. К ним относится</w:t>
      </w:r>
      <w:r w:rsidR="007E4756" w:rsidRPr="002F3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F3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строительство</w:t>
      </w:r>
      <w:r w:rsidR="00EA67CE" w:rsidRPr="002F3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2F3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реконструкци</w:t>
      </w:r>
      <w:r w:rsidR="007E4756" w:rsidRPr="002F3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2F3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дорог, новых зданий и сооружений, капитальны</w:t>
      </w:r>
      <w:r w:rsidR="007E4756" w:rsidRPr="002F3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F3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текущи</w:t>
      </w:r>
      <w:r w:rsidR="007E4756" w:rsidRPr="002F3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F3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ремонт</w:t>
      </w:r>
      <w:r w:rsidR="007E4756" w:rsidRPr="002F3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2F3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стоимость</w:t>
      </w:r>
      <w:r w:rsidR="007E4756" w:rsidRPr="002F3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2F3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свыше 1 млн. руб. Также пристальное внимание уделяется закупкам ТМЦ с начальной мак</w:t>
      </w:r>
      <w:r w:rsidR="002F354D" w:rsidRPr="002F3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симальной ценой контракта более 500 тыс. руб.</w:t>
      </w:r>
    </w:p>
    <w:p w:rsidR="007E4756" w:rsidRPr="00EA2CA4" w:rsidRDefault="007E4756" w:rsidP="00E529B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2C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Частота заключаемых контрактов с одним и тем же поставщиком (подрядчиком, исполнителем) с точки зрения установления неформальной </w:t>
      </w:r>
      <w:r w:rsidRPr="00EA2CA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связи между конечным выгодоприобретателем – сотрудником и представителем контрагента.</w:t>
      </w:r>
    </w:p>
    <w:p w:rsidR="00175FD8" w:rsidRDefault="00175FD8" w:rsidP="00E529B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5F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Цены на приобретаемые товары, их количество и параметры (при закупках ТМЦ) соотносятся с нормативными затратами, утвержденными постановлением администрации </w:t>
      </w:r>
      <w:proofErr w:type="gramStart"/>
      <w:r w:rsidRPr="00175F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gramEnd"/>
      <w:r w:rsidRPr="00175F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ЗАТО Свободный. Это касается приобретения средств подвижной связи, автотранспорта, принтеров, сканеров, МФУ, компьютеров (в том числе планшетных), оргтехники, носителей информации, мебели, канцелярских принадлежностей, материальных запасов для нужд гражданской обороны</w:t>
      </w:r>
      <w:r w:rsidR="007C51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C51E7" w:rsidRDefault="007C51E7" w:rsidP="00E529B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Недопустимость закупок предметов роскоши, а также товаров, имеющих избыточные потребительские свойства (согласно статье 19 ФЗ-44).</w:t>
      </w:r>
    </w:p>
    <w:p w:rsidR="00073BE0" w:rsidRDefault="00E529BD" w:rsidP="00F50C7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C44C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 анализируется документация по выбранной закупке. Наличие избыточного количества сложных для восприятия формулировок может преследовать цель ограничения количества участников или для сокрытия коррупционных правонарушений.</w:t>
      </w:r>
      <w:r w:rsidR="00073B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Также возможными индикаторами коррупции могут быть: минимальный размер уставного капитала; недавняя регистрация контрагента; отсутствие в штатном расписании лица, отвечающего за бухгалтерский учет; наличие в договорах условий, нехарактерных для обычной практики</w:t>
      </w:r>
      <w:r w:rsidR="002F3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отсутствие необходимо количества специалистов требуемого уровня квалификации для исполнения контракта.</w:t>
      </w:r>
    </w:p>
    <w:p w:rsidR="00F50C74" w:rsidRDefault="00E529BD" w:rsidP="00F50C7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F50C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Учитываются также и особенности проведения конкурентных процедур по выбранной закупке. В частности, следует обратить внимание на следующие детали: </w:t>
      </w:r>
    </w:p>
    <w:p w:rsidR="00F50C74" w:rsidRDefault="00F50C74" w:rsidP="00F50C74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0C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минимальное число поставщиков (подрядчиков), </w:t>
      </w:r>
      <w:r w:rsidR="00684E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подавших заявки либо вообще отсутствие заявок.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этим может скрываться влияние нерыночных факторов, включая коррупционный. К примеру, потенциальные участники не подают заявки из-за очень сложного технического задания, нереальных сроков выполнения;</w:t>
      </w:r>
    </w:p>
    <w:p w:rsidR="00F50C74" w:rsidRDefault="00F50C74" w:rsidP="00F50C74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одни и те же участники, подающие заявки на схожие объекты закупок</w:t>
      </w:r>
      <w:r w:rsidR="00684E8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Есть вероятность сговора между участниками с целью распределения рынка по объектам и ценам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50C74" w:rsidRDefault="00F50C74" w:rsidP="00F50C74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большое число участников, отклоненных комиссией закупок</w:t>
      </w:r>
      <w:r w:rsidR="00684E8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Может свидетельствовать об искусственном ограничении к участию в закупке через принятие неверных решений комиссией 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84E82" w:rsidRDefault="00684E82" w:rsidP="00F50C74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большое число запросов от участников на получение разъяснений. Такое возможно при запутанной документации, которая умышленно составлена с целью допуска конкретных контрагентов.</w:t>
      </w:r>
    </w:p>
    <w:p w:rsidR="007C5EF8" w:rsidRDefault="009C3CE9" w:rsidP="00F50C74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7C5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частники закупки «неожиданно» отзывают свои заявки;</w:t>
      </w:r>
    </w:p>
    <w:p w:rsidR="00684E82" w:rsidRDefault="009C3CE9" w:rsidP="00F50C74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</w:t>
      </w:r>
      <w:r w:rsidR="00684E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ень высокий (больше 50%) или наоборот очень низкий (менее 1%) процент снижения начальной максимальной цены контракта.</w:t>
      </w:r>
      <w:r w:rsidR="00A51C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первом </w:t>
      </w:r>
      <w:r w:rsidR="00A51C0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случае есть вероятнос</w:t>
      </w:r>
      <w:r w:rsidR="00EA2C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ть искусственного завышения, </w:t>
      </w:r>
      <w:r w:rsidR="00A51C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занижении цены или демпинга со стороны участников. </w:t>
      </w:r>
    </w:p>
    <w:p w:rsidR="00A51C05" w:rsidRDefault="009C3CE9" w:rsidP="00F50C74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A51C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аличие предписаний, замечаний от контрольных органов.</w:t>
      </w:r>
    </w:p>
    <w:p w:rsidR="00F50C74" w:rsidRDefault="00F50C74" w:rsidP="00684E8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0C74" w:rsidRPr="00F50C74" w:rsidRDefault="00E529BD" w:rsidP="00F50C7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9C3C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Таким образом, анализи</w:t>
      </w:r>
      <w:r w:rsidR="00EC77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руется как документация, связанная с осуществлением закупки, так и документация, связанная с планированием закупки. </w:t>
      </w:r>
      <w:r w:rsidR="00F50C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Вышеприведенные </w:t>
      </w:r>
      <w:r w:rsidR="00EC77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индикаторы</w:t>
      </w:r>
      <w:r w:rsidR="00F50C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обязательно свидетельствуют о готовящихся или совершенных правонарушениях, но их необходимо учитывать при последующем перекрестном анализе. </w:t>
      </w:r>
    </w:p>
    <w:p w:rsidR="007937B0" w:rsidRDefault="00E529BD" w:rsidP="007937B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7937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</w:t>
      </w:r>
      <w:r w:rsidR="00175F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собранных сведений и анализа закупки, </w:t>
      </w:r>
      <w:r w:rsidR="007937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сформированных профилей заказчика и участника закупки</w:t>
      </w:r>
      <w:r w:rsidR="009D1B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(и возможных субподрядчиках) </w:t>
      </w:r>
      <w:r w:rsidR="007937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проводится перекрестный анализ для выявления наличия у сотрудников личной заинтересованности.</w:t>
      </w:r>
      <w:r w:rsidR="00081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этом может быть выявлена связь между сотрудником и непосредственным поставщиком (подрядчиком), субподрядчиком либо понуждение со стороны сотрудника заказчика заключить договор субподряда с аффилированной с ним организацией. </w:t>
      </w:r>
    </w:p>
    <w:p w:rsidR="00197E64" w:rsidRDefault="00E529BD" w:rsidP="00197E6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7A17AE" w:rsidRPr="007A1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проведенного анализа выявление личной заинтересованности и раскрытого конфликта интересов на сотрудника МКУ «СМЗ» распространяются обязанности и ответственность, указанные в п.6 и п.7 Положения о конфликте интересов в Муниципальном казенном учреждении «Служба муниципального заказа».</w:t>
      </w:r>
    </w:p>
    <w:p w:rsidR="00CF33A1" w:rsidRDefault="00CF33A1" w:rsidP="00197E6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A1" w:rsidRDefault="00CF33A1" w:rsidP="00197E6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A1" w:rsidRDefault="00CF33A1" w:rsidP="00197E6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A1" w:rsidRDefault="00CF33A1" w:rsidP="00197E6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A1" w:rsidRDefault="00CF33A1" w:rsidP="00197E6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A1" w:rsidRDefault="00CF33A1" w:rsidP="00197E6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A1" w:rsidRDefault="00CF33A1" w:rsidP="00197E6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A1" w:rsidRDefault="00CF33A1" w:rsidP="00197E6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A1" w:rsidRDefault="00CF33A1" w:rsidP="00197E6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A1" w:rsidRDefault="00CF33A1" w:rsidP="00197E6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A1" w:rsidRDefault="00CF33A1" w:rsidP="00197E6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A1" w:rsidRDefault="00CF33A1" w:rsidP="00197E6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A1" w:rsidRDefault="00CF33A1" w:rsidP="00197E6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A1" w:rsidRPr="00197E64" w:rsidRDefault="00CF33A1" w:rsidP="00197E6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CF33A1" w:rsidRPr="0019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3DEA"/>
    <w:multiLevelType w:val="multilevel"/>
    <w:tmpl w:val="E1E8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E2962"/>
    <w:multiLevelType w:val="hybridMultilevel"/>
    <w:tmpl w:val="A7F85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50E3A"/>
    <w:multiLevelType w:val="hybridMultilevel"/>
    <w:tmpl w:val="CFC6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E0E11"/>
    <w:multiLevelType w:val="hybridMultilevel"/>
    <w:tmpl w:val="D0921EB6"/>
    <w:lvl w:ilvl="0" w:tplc="559E0E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56DFD"/>
    <w:multiLevelType w:val="hybridMultilevel"/>
    <w:tmpl w:val="BB98275A"/>
    <w:lvl w:ilvl="0" w:tplc="DD0800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C58FF"/>
    <w:multiLevelType w:val="hybridMultilevel"/>
    <w:tmpl w:val="4D6824E2"/>
    <w:lvl w:ilvl="0" w:tplc="5D502A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52"/>
    <w:rsid w:val="0003416E"/>
    <w:rsid w:val="00073A89"/>
    <w:rsid w:val="00073BE0"/>
    <w:rsid w:val="00081040"/>
    <w:rsid w:val="000A3265"/>
    <w:rsid w:val="000E425A"/>
    <w:rsid w:val="000F59E7"/>
    <w:rsid w:val="00175FD8"/>
    <w:rsid w:val="00197E64"/>
    <w:rsid w:val="001A4439"/>
    <w:rsid w:val="001B50B5"/>
    <w:rsid w:val="001C333B"/>
    <w:rsid w:val="0022766A"/>
    <w:rsid w:val="00227D52"/>
    <w:rsid w:val="002657CB"/>
    <w:rsid w:val="00296749"/>
    <w:rsid w:val="002F354D"/>
    <w:rsid w:val="00336E08"/>
    <w:rsid w:val="003B1678"/>
    <w:rsid w:val="003D384C"/>
    <w:rsid w:val="00492D55"/>
    <w:rsid w:val="00523779"/>
    <w:rsid w:val="006169AE"/>
    <w:rsid w:val="00684E82"/>
    <w:rsid w:val="006B0DA0"/>
    <w:rsid w:val="0073057E"/>
    <w:rsid w:val="00746B5C"/>
    <w:rsid w:val="007937B0"/>
    <w:rsid w:val="007A17AE"/>
    <w:rsid w:val="007C51E7"/>
    <w:rsid w:val="007C5EF8"/>
    <w:rsid w:val="007E4756"/>
    <w:rsid w:val="0083347F"/>
    <w:rsid w:val="0087198F"/>
    <w:rsid w:val="009C3CE9"/>
    <w:rsid w:val="009D1BCD"/>
    <w:rsid w:val="00A26067"/>
    <w:rsid w:val="00A51C05"/>
    <w:rsid w:val="00A53D75"/>
    <w:rsid w:val="00AB7AB3"/>
    <w:rsid w:val="00C44CE4"/>
    <w:rsid w:val="00C56C0C"/>
    <w:rsid w:val="00CF2346"/>
    <w:rsid w:val="00CF33A1"/>
    <w:rsid w:val="00D42A76"/>
    <w:rsid w:val="00D623D7"/>
    <w:rsid w:val="00E529BD"/>
    <w:rsid w:val="00EA2CA4"/>
    <w:rsid w:val="00EA67CE"/>
    <w:rsid w:val="00EC773F"/>
    <w:rsid w:val="00F4491A"/>
    <w:rsid w:val="00F50C74"/>
    <w:rsid w:val="00F8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5709-8BDD-4375-BAFC-D35D401D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A260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42A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A8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" TargetMode="External"/><Relationship Id="rId5" Type="http://schemas.openxmlformats.org/officeDocument/2006/relationships/hyperlink" Target="https://pb.nalo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Здобнова</dc:creator>
  <cp:keywords/>
  <dc:description/>
  <cp:lastModifiedBy>МКУ СМЗ</cp:lastModifiedBy>
  <cp:revision>2</cp:revision>
  <cp:lastPrinted>2021-10-08T10:14:00Z</cp:lastPrinted>
  <dcterms:created xsi:type="dcterms:W3CDTF">2021-11-25T03:39:00Z</dcterms:created>
  <dcterms:modified xsi:type="dcterms:W3CDTF">2021-11-25T03:39:00Z</dcterms:modified>
</cp:coreProperties>
</file>